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2F7F4" w14:textId="77777777" w:rsidR="00937FC1" w:rsidRDefault="00937FC1" w:rsidP="00937FC1">
      <w:pPr>
        <w:keepNext/>
        <w:keepLines/>
        <w:spacing w:before="120" w:after="0" w:line="240" w:lineRule="auto"/>
        <w:ind w:left="5103"/>
        <w:jc w:val="right"/>
        <w:outlineLvl w:val="1"/>
        <w:rPr>
          <w:rFonts w:ascii="Calibri" w:eastAsia="Calibri" w:hAnsi="Calibri" w:cs="Calibri"/>
          <w:color w:val="0070C0"/>
        </w:rPr>
      </w:pPr>
      <w:bookmarkStart w:id="0" w:name="_Ref38285444"/>
      <w:bookmarkStart w:id="1" w:name="_Ref38291496"/>
      <w:bookmarkStart w:id="2" w:name="_Toc202532623"/>
      <w:r w:rsidRPr="00C826B2">
        <w:rPr>
          <w:rFonts w:ascii="Calibri" w:eastAsia="Calibri" w:hAnsi="Calibri" w:cs="Calibri"/>
          <w:color w:val="0070C0"/>
        </w:rPr>
        <w:t xml:space="preserve">Pirkimo sąlygų </w:t>
      </w:r>
      <w:r>
        <w:rPr>
          <w:rFonts w:ascii="Calibri" w:eastAsia="Calibri" w:hAnsi="Calibri" w:cs="Calibri"/>
          <w:color w:val="0070C0"/>
        </w:rPr>
        <w:t>2</w:t>
      </w:r>
      <w:r w:rsidRPr="00C826B2">
        <w:rPr>
          <w:rFonts w:ascii="Calibri" w:eastAsia="Calibri" w:hAnsi="Calibri" w:cs="Calibri"/>
          <w:color w:val="0070C0"/>
        </w:rPr>
        <w:t xml:space="preserve"> priedas „</w:t>
      </w:r>
      <w:r>
        <w:rPr>
          <w:rFonts w:ascii="Calibri" w:eastAsia="Calibri" w:hAnsi="Calibri" w:cs="Calibri"/>
          <w:color w:val="0070C0"/>
        </w:rPr>
        <w:t>Techninė specifikacija</w:t>
      </w:r>
      <w:bookmarkStart w:id="3" w:name="_GoBack"/>
      <w:bookmarkEnd w:id="3"/>
      <w:r w:rsidRPr="00C826B2">
        <w:rPr>
          <w:rFonts w:ascii="Calibri" w:eastAsia="Calibri" w:hAnsi="Calibri" w:cs="Calibri"/>
          <w:color w:val="0070C0"/>
        </w:rPr>
        <w:t>“</w:t>
      </w:r>
      <w:bookmarkEnd w:id="0"/>
      <w:bookmarkEnd w:id="1"/>
      <w:bookmarkEnd w:id="2"/>
    </w:p>
    <w:p w14:paraId="0F8F1FDD" w14:textId="77777777" w:rsidR="00937FC1" w:rsidRDefault="00937FC1" w:rsidP="00937FC1">
      <w:pPr>
        <w:spacing w:after="0" w:line="240" w:lineRule="auto"/>
        <w:jc w:val="center"/>
        <w:rPr>
          <w:rFonts w:ascii="Times New Roman" w:eastAsia="Times New Roman" w:hAnsi="Times New Roman" w:cs="Times New Roman"/>
          <w:sz w:val="24"/>
          <w:szCs w:val="24"/>
          <w:lang w:bidi="he-IL"/>
        </w:rPr>
      </w:pPr>
    </w:p>
    <w:p w14:paraId="00C61B0F" w14:textId="77777777" w:rsidR="00937FC1" w:rsidRPr="00137E1D" w:rsidRDefault="00937FC1" w:rsidP="00937FC1">
      <w:pPr>
        <w:spacing w:after="0" w:line="240" w:lineRule="auto"/>
        <w:jc w:val="center"/>
        <w:rPr>
          <w:rFonts w:ascii="Times New Roman" w:eastAsia="Times New Roman" w:hAnsi="Times New Roman" w:cs="Times New Roman"/>
          <w:b/>
          <w:sz w:val="24"/>
          <w:szCs w:val="24"/>
        </w:rPr>
      </w:pPr>
      <w:r w:rsidRPr="00137E1D">
        <w:rPr>
          <w:rFonts w:ascii="Times New Roman" w:eastAsia="Times New Roman" w:hAnsi="Times New Roman" w:cs="Times New Roman"/>
          <w:b/>
          <w:sz w:val="24"/>
          <w:szCs w:val="24"/>
        </w:rPr>
        <w:t>TECHNINĖ SPECIFIKACIJA</w:t>
      </w:r>
    </w:p>
    <w:p w14:paraId="4B08C3A6" w14:textId="77777777" w:rsidR="00937FC1" w:rsidRPr="00222C9B" w:rsidRDefault="00937FC1" w:rsidP="00937FC1">
      <w:pPr>
        <w:tabs>
          <w:tab w:val="left" w:pos="993"/>
        </w:tabs>
        <w:spacing w:after="0" w:line="240" w:lineRule="auto"/>
        <w:ind w:left="90" w:firstLine="630"/>
        <w:rPr>
          <w:rFonts w:ascii="Times New Roman" w:eastAsia="Times New Roman" w:hAnsi="Times New Roman" w:cs="Times New Roman"/>
          <w:sz w:val="24"/>
          <w:szCs w:val="24"/>
        </w:rPr>
      </w:pPr>
    </w:p>
    <w:p w14:paraId="2A468FCC"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Darbai vykdomi vadovaujantis techninėmis sąlygomis bei galiojančiais standartais: </w:t>
      </w:r>
      <w:r>
        <w:rPr>
          <w:rFonts w:ascii="Times New Roman" w:eastAsia="Times New Roman" w:hAnsi="Times New Roman" w:cs="Times New Roman"/>
          <w:sz w:val="24"/>
          <w:szCs w:val="24"/>
        </w:rPr>
        <w:t>k</w:t>
      </w:r>
      <w:r w:rsidRPr="00222C9B">
        <w:rPr>
          <w:rFonts w:ascii="Times New Roman" w:eastAsia="Times New Roman" w:hAnsi="Times New Roman" w:cs="Times New Roman"/>
          <w:sz w:val="24"/>
          <w:szCs w:val="24"/>
        </w:rPr>
        <w:t>elių techninis reglamentas KTR 1.01:2008</w:t>
      </w:r>
      <w:r>
        <w:rPr>
          <w:rFonts w:ascii="Times New Roman" w:eastAsia="Times New Roman" w:hAnsi="Times New Roman" w:cs="Times New Roman"/>
          <w:sz w:val="24"/>
          <w:szCs w:val="24"/>
        </w:rPr>
        <w:t xml:space="preserve"> </w:t>
      </w:r>
      <w:r w:rsidRPr="004C0C4F">
        <w:rPr>
          <w:rFonts w:ascii="Times New Roman" w:eastAsia="Times New Roman" w:hAnsi="Times New Roman" w:cs="Times New Roman"/>
          <w:sz w:val="24"/>
          <w:szCs w:val="24"/>
        </w:rPr>
        <w:t>„Automobilių keliai“</w:t>
      </w:r>
      <w:r w:rsidRPr="00222C9B">
        <w:rPr>
          <w:rFonts w:ascii="Times New Roman" w:eastAsia="Times New Roman" w:hAnsi="Times New Roman" w:cs="Times New Roman"/>
          <w:sz w:val="24"/>
          <w:szCs w:val="24"/>
        </w:rPr>
        <w:t xml:space="preserve">, Kelių ženklinimo medžiagų naudojimo ir ženklinimo įrengimo taisyklės ĮT ŽM 12, Automobilių kelių dangos konstrukcijos asfalto sluoksnių įrengimo taisyklės ĮT ASFALTAS 25, Inžinerinių eismo saugumo priemonių įgyvendinimo rekomendacijos, automobilių kelių transporto priemonių apsauginių atitvarų sistemų projektavimo taisyklėmis KPT TAS 09, </w:t>
      </w:r>
      <w:r w:rsidRPr="00222C9B">
        <w:rPr>
          <w:rFonts w:ascii="Times New Roman" w:eastAsia="Times New Roman" w:hAnsi="Times New Roman" w:cs="Times New Roman"/>
          <w:sz w:val="24"/>
          <w:szCs w:val="24"/>
          <w:lang w:eastAsia="ar-SA"/>
        </w:rPr>
        <w:t>Lietuvos Respublikos Susisiekimo ministro 2012 m. sausio 31 d. įsakymu Nr. 3-83 patvirtintų Kelių ženklų įrengimo ir vertikaliojo ženklinimo taisyklių (su visais pakeitimais) reikalavimais, Automobilių kelių signalinių stulpelių techninių reikalavimų aprašu ir įrengimo taisyklėmis TRAT SST 14.</w:t>
      </w:r>
    </w:p>
    <w:p w14:paraId="700757E7" w14:textId="77777777" w:rsidR="00937FC1" w:rsidRPr="00222C9B" w:rsidRDefault="00937FC1" w:rsidP="00937FC1">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Kelio ženklai</w:t>
      </w:r>
    </w:p>
    <w:p w14:paraId="64C42E1B"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Kelio ženklas turi būti:</w:t>
      </w:r>
    </w:p>
    <w:p w14:paraId="55299EF2"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pagamintas iš atsparių korozijai medžiagų (standartiniai kelio ženklai pagal LST EN  12899-1:2008 standartą);</w:t>
      </w:r>
    </w:p>
    <w:p w14:paraId="38C37B49"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padengtas šviesą atspindinčia plėvele (ne žemesnio kaip inžinerinio lygio);</w:t>
      </w:r>
    </w:p>
    <w:p w14:paraId="3E5D8366"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2486BEC4"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gerai matomas ir ilgaamžis;</w:t>
      </w:r>
    </w:p>
    <w:p w14:paraId="60512F75"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5967592"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Atrama kelio ženklui turi būti:</w:t>
      </w:r>
    </w:p>
    <w:p w14:paraId="18292241"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pagaminta iš plieninio cinkuoto vamzdžio (d = 60,3 mm skersmens, sienutės storis 2,0 mm);</w:t>
      </w:r>
    </w:p>
    <w:p w14:paraId="7D13E4A3"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atramos viršus uždengiamas dangteliu.</w:t>
      </w:r>
    </w:p>
    <w:p w14:paraId="7F3736EC"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Tvirtinimo detalės kelio ženklui turi būti:</w:t>
      </w:r>
    </w:p>
    <w:p w14:paraId="044309BA"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pagamintos iš cinkuotos skardos pagal galiojantį standartą;</w:t>
      </w:r>
    </w:p>
    <w:p w14:paraId="1AD8E024" w14:textId="77777777" w:rsidR="00937FC1" w:rsidRPr="00222C9B" w:rsidRDefault="00937FC1" w:rsidP="00937FC1">
      <w:pPr>
        <w:numPr>
          <w:ilvl w:val="0"/>
          <w:numId w:val="1"/>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komplektuojamos su cinkuotais varžtais.</w:t>
      </w:r>
    </w:p>
    <w:p w14:paraId="0D1B8811"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743FB67C"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Gyvenvietėse įrengiant ženklus, turi būti atstatyta danga, po kuria įrengti kelio ženklo atramos pamatai. Perduodant kelio ženklus Užsakovui, turi būti pridedama naudotų medžiagų kokybės įrodymai – atitikties deklaracija. Senus kelio ženklus ir ženklų atramas demontavus sandėliuoti į seniūnui nurodytą vietą. Kelio ženklai ir atramos pristatomos ir įrengiamos ne vėliau kaip per 14 darbo dienų nuo Užsakovo užsakymo raštu ar el. laišku.</w:t>
      </w:r>
    </w:p>
    <w:p w14:paraId="4B48A9BC" w14:textId="77777777" w:rsidR="00937FC1" w:rsidRPr="00222C9B" w:rsidRDefault="00937FC1" w:rsidP="00937FC1">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Tiekėjas privalo mėnesio gale pateikti naujai sumontuotų kelio ženklų schemas su gatvių pavadinimais.</w:t>
      </w:r>
    </w:p>
    <w:p w14:paraId="3DA46059" w14:textId="77777777" w:rsidR="00937FC1" w:rsidRDefault="00937FC1" w:rsidP="00937FC1">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Calibri" w:hAnsi="Times New Roman" w:cs="Times New Roman"/>
          <w:bCs/>
          <w:i/>
          <w:iCs/>
          <w:color w:val="000000"/>
          <w:sz w:val="24"/>
          <w:szCs w:val="24"/>
          <w:lang w:eastAsia="en-US"/>
        </w:rPr>
        <w:t>Sferiniai veidrodžiai</w:t>
      </w:r>
    </w:p>
    <w:p w14:paraId="66110202" w14:textId="77777777" w:rsidR="00937FC1" w:rsidRPr="006D0FB2" w:rsidRDefault="00937FC1" w:rsidP="00937FC1">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Times New Roman" w:hAnsi="Times New Roman" w:cs="Times New Roman"/>
          <w:sz w:val="24"/>
          <w:szCs w:val="24"/>
          <w:lang w:eastAsia="en-US"/>
        </w:rPr>
        <w:t>Reikalavimai sferiniam veidrodžiui:</w:t>
      </w:r>
    </w:p>
    <w:p w14:paraId="3586F21A"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1. skirti kelių (gatvių) stebėjimui dideliu kampu, kur pastatai, stulpai, medžiai ir kitos kliūtys riboja transporto priemonių vairuotojų matomumą;</w:t>
      </w:r>
    </w:p>
    <w:p w14:paraId="15028E17"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 xml:space="preserve">2. nedūžtantis (pagamintas iš akrilo ir/arba </w:t>
      </w:r>
      <w:proofErr w:type="spellStart"/>
      <w:r w:rsidRPr="00222C9B">
        <w:rPr>
          <w:rFonts w:ascii="Times New Roman" w:eastAsia="Times New Roman" w:hAnsi="Times New Roman" w:cs="Times New Roman"/>
          <w:sz w:val="24"/>
          <w:szCs w:val="24"/>
          <w:lang w:eastAsia="en-US"/>
        </w:rPr>
        <w:t>polikarbonato</w:t>
      </w:r>
      <w:proofErr w:type="spellEnd"/>
      <w:r w:rsidRPr="00222C9B">
        <w:rPr>
          <w:rFonts w:ascii="Times New Roman" w:eastAsia="Times New Roman" w:hAnsi="Times New Roman" w:cs="Times New Roman"/>
          <w:sz w:val="24"/>
          <w:szCs w:val="24"/>
          <w:lang w:eastAsia="en-US"/>
        </w:rPr>
        <w:t>);</w:t>
      </w:r>
    </w:p>
    <w:p w14:paraId="1E11B624"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3. atsparus atmosferos poveikiams ir chemiškai agresyviai aplinkai, skirtas montuoti lauke ir turintis stogelį nuo saulės;</w:t>
      </w:r>
    </w:p>
    <w:p w14:paraId="288535E2"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4. apvadas pagamintas iš UV stabilizuoto plastiko, montuojamas ant atitinkamo aukščio ir 76,1 mm skersmens cinkuoto stulpo, kuris įbetonuojamas, laikiklis- cinkuotas;</w:t>
      </w:r>
    </w:p>
    <w:p w14:paraId="1970D86D"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5. techniniai duomenys: veidrodžio skersmuo 600 mm, arba 900 mm, matymo kampas – nemažiau kaip 90 laipsnių.</w:t>
      </w:r>
    </w:p>
    <w:p w14:paraId="192B7F5A"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lastRenderedPageBreak/>
        <w:t xml:space="preserve">  6. veidrodžio korpuso ir laikiklio konstrukcija atspari atmosferos poveikiams, veikianti temperatūrų diapazone ne siauresniame kaip nuo –40 °C iki +70 °C; tvirtinimo detalės ir laikiklis pagamintas iš cinkuoto arba nerūdijančio plieno, atsparus mechaniniams smūgiams — smūgiams atsparumo klasė ne žemesnė kaip IK08 pagal LST EN IEC 62262 (arba lygiavertis);</w:t>
      </w:r>
    </w:p>
    <w:p w14:paraId="34C16A8D"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7. montavimo stulpas turi turėti baltos spalvos šviesos atspindėjimo juostas arba </w:t>
      </w:r>
      <w:proofErr w:type="spellStart"/>
      <w:r w:rsidRPr="00222C9B">
        <w:rPr>
          <w:rFonts w:ascii="Times New Roman" w:eastAsia="Times New Roman" w:hAnsi="Times New Roman" w:cs="Times New Roman"/>
          <w:sz w:val="24"/>
          <w:szCs w:val="24"/>
          <w:lang w:eastAsia="en-US"/>
        </w:rPr>
        <w:t>atšvaistus</w:t>
      </w:r>
      <w:proofErr w:type="spellEnd"/>
      <w:r w:rsidRPr="00222C9B">
        <w:rPr>
          <w:rFonts w:ascii="Times New Roman" w:eastAsia="Times New Roman" w:hAnsi="Times New Roman" w:cs="Times New Roman"/>
          <w:sz w:val="24"/>
          <w:szCs w:val="24"/>
          <w:lang w:eastAsia="en-US"/>
        </w:rPr>
        <w:t>, užtikrinančius veidrodžio matomumą tamsiu paros metu, pagal Automobilių kelių signalinių stulpelių techninių reikalavimų aprašo ir įrengimo taisyklių TRAT SST 14 reikalavimus;</w:t>
      </w:r>
    </w:p>
    <w:p w14:paraId="7B21684E"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8. suteikiama ne mažiau kaip 3 metų garantija nuo priėmimo–perdavimo akto pasirašymo dienos.</w:t>
      </w:r>
    </w:p>
    <w:p w14:paraId="4BAB644F" w14:textId="77777777" w:rsidR="00937FC1" w:rsidRPr="00222C9B" w:rsidRDefault="00937FC1" w:rsidP="00937FC1">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Horizontalus dangų ženklinimas</w:t>
      </w:r>
    </w:p>
    <w:p w14:paraId="0933FACD" w14:textId="77777777" w:rsidR="00937FC1" w:rsidRPr="00222C9B" w:rsidRDefault="00937FC1" w:rsidP="00937FC1">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Darbams atlikti naudojami tik techninių specifikacijų reikalavimus atitinkantys gaminiai bei statybinės medžiagos. Atliekamų darbų ir medžiagų kokybė turi atitikti galiojančių normų ir standartų reikalavimus. Visos privalomos sertifikuoti medžiagos ir gaminiai turi turėti Lietuvos Respublikoje galiojančius sertifikatus. Naudojamos ženklinimo medžiagos turi turėti CE ženklinimą ir gamintojo eksploatacinių savybių deklaraciją pagal LST EN 1436 (arba lygiavertis), kurioje būtų deklaruota atspindimojo skaisčio (RL) klasė. Ženklinimo medžiagų eksploatacinių savybių deklaracijos pateikiamos Užsakovui kartu su atliktų darbų perdavimo–priėmimo aktu.</w:t>
      </w:r>
    </w:p>
    <w:p w14:paraId="2A29449E" w14:textId="77777777" w:rsidR="00937FC1" w:rsidRPr="00222C9B" w:rsidRDefault="00937FC1" w:rsidP="00937FC1">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Darbai atliekami pagal Lietuvos Respublikoje galiojančius reglamentus, statybos normas, taisykles, techninių sąlygų reikalavimus, rekomendacijas ir kitus norminius dokumentus. Rangovas garantuoja, kad darbų priėmimo metu jo atlikti darbai atitiks Sutartyje nustatytus reikalavimus, jie bus atlikti be trūkumų, kurie panaikintų arba sumažintų darbų rezultato tinkamumą įprastam panaudojimui.</w:t>
      </w:r>
    </w:p>
    <w:p w14:paraId="0C3A3971" w14:textId="77777777" w:rsidR="00937FC1" w:rsidRPr="00222C9B" w:rsidRDefault="00937FC1" w:rsidP="00937FC1">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 xml:space="preserve">Atliktiems darbams Rangovas privalo suteikti ne trumpesnį (skaičiuojant nuo atliktų darbų priėmimo dienos) kaip 1 metai garantinį terminą ženklinimo dažais, ir ne trumpesnį kaip 2 metų garantinį terminą ženklinimo </w:t>
      </w:r>
      <w:proofErr w:type="spellStart"/>
      <w:r w:rsidRPr="00222C9B">
        <w:rPr>
          <w:rFonts w:ascii="Times New Roman" w:eastAsia="Times New Roman" w:hAnsi="Times New Roman" w:cs="Times New Roman"/>
          <w:bCs/>
          <w:color w:val="000000"/>
          <w:sz w:val="24"/>
          <w:szCs w:val="24"/>
        </w:rPr>
        <w:t>termoplastiku</w:t>
      </w:r>
      <w:proofErr w:type="spellEnd"/>
      <w:r w:rsidRPr="00222C9B">
        <w:rPr>
          <w:rFonts w:ascii="Times New Roman" w:eastAsia="Times New Roman" w:hAnsi="Times New Roman" w:cs="Times New Roman"/>
          <w:bCs/>
          <w:color w:val="000000"/>
          <w:sz w:val="24"/>
          <w:szCs w:val="24"/>
        </w:rPr>
        <w:t xml:space="preserve"> (spalvą derinti su užsakovu) ar </w:t>
      </w:r>
      <w:proofErr w:type="spellStart"/>
      <w:r w:rsidRPr="00222C9B">
        <w:rPr>
          <w:rFonts w:ascii="Times New Roman" w:eastAsia="Times New Roman" w:hAnsi="Times New Roman" w:cs="Times New Roman"/>
          <w:bCs/>
          <w:color w:val="000000"/>
          <w:sz w:val="24"/>
          <w:szCs w:val="24"/>
        </w:rPr>
        <w:t>antislydiminei</w:t>
      </w:r>
      <w:proofErr w:type="spellEnd"/>
      <w:r w:rsidRPr="00222C9B">
        <w:rPr>
          <w:rFonts w:ascii="Times New Roman" w:eastAsia="Times New Roman" w:hAnsi="Times New Roman" w:cs="Times New Roman"/>
          <w:bCs/>
          <w:color w:val="000000"/>
          <w:sz w:val="24"/>
          <w:szCs w:val="24"/>
        </w:rPr>
        <w:t xml:space="preserve"> dangai. Garantiniu laikotarpiu Rangovas privalo užtikrinti, kad įrengto ženklinimo atspindimojo skaisčio koeficientas atitiktų gamintojo eksploatacinių savybių deklaracijoje nurodytas vertes. Užsakovui pareikalavus, Rangovas privalo pateikti ženklinimo </w:t>
      </w:r>
      <w:proofErr w:type="spellStart"/>
      <w:r w:rsidRPr="00222C9B">
        <w:rPr>
          <w:rFonts w:ascii="Times New Roman" w:eastAsia="Times New Roman" w:hAnsi="Times New Roman" w:cs="Times New Roman"/>
          <w:bCs/>
          <w:color w:val="000000"/>
          <w:sz w:val="24"/>
          <w:szCs w:val="24"/>
        </w:rPr>
        <w:t>retrorefleksijos</w:t>
      </w:r>
      <w:proofErr w:type="spellEnd"/>
      <w:r w:rsidRPr="00222C9B">
        <w:rPr>
          <w:rFonts w:ascii="Times New Roman" w:eastAsia="Times New Roman" w:hAnsi="Times New Roman" w:cs="Times New Roman"/>
          <w:bCs/>
          <w:color w:val="000000"/>
          <w:sz w:val="24"/>
          <w:szCs w:val="24"/>
        </w:rPr>
        <w:t xml:space="preserve"> patikros rezultatus.</w:t>
      </w:r>
    </w:p>
    <w:p w14:paraId="30BA67F0" w14:textId="77777777" w:rsidR="00937FC1" w:rsidRPr="00222C9B" w:rsidRDefault="00937FC1" w:rsidP="00937FC1">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Apsauginių automobilių atitvarų įrengimas</w:t>
      </w:r>
    </w:p>
    <w:p w14:paraId="7A322B64"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w:t>
      </w:r>
    </w:p>
    <w:p w14:paraId="71B786EC"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Plieninės juostos ir statramsčiai turi būti pagaminti iš ne žemesnės kaip S 235J2W plieno pagal LST EN 10025-5:2019 reikalavimus. Intarpai turi būti tos pačios plieno klasės kaip ir statramsčiai.</w:t>
      </w:r>
    </w:p>
    <w:p w14:paraId="28C005A5"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Varžtai turi būti ne žemesnės stiprumo klases 4,6 pagal LST EN ISO 898-1:2013, veržlės ne žemesnės stiprumo klasės kaip 5 pagal LST EN ISO 898-2.</w:t>
      </w:r>
    </w:p>
    <w:p w14:paraId="69A552CC"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w:t>
      </w:r>
    </w:p>
    <w:p w14:paraId="06663D5F"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Sijos, statramsčiai, tvirtinimo detalės turi būti vienalyčiai. Jie negali būti įtrūkę su plyšiais, skilę su suvirinimo siūlėmis.</w:t>
      </w:r>
    </w:p>
    <w:p w14:paraId="1B4D1026"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Antikorozinis sluoksnis turi būti neatšokęs be išsiputimų.</w:t>
      </w:r>
    </w:p>
    <w:p w14:paraId="767142D7"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Tvirtinimo varžtai turi būti su pusapvale galvute.</w:t>
      </w:r>
    </w:p>
    <w:p w14:paraId="721E256B"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Apsauginių atitvarų konstrukciniai elementai turi turėti gamyklos gamintojos išduotos kokybės sertifikatus, patvirtinančius plieno klasės, antikorozinio dengimo, cheminių ir mechaninių savybių minimalių verčių atitikimą. Garantija apsauginiams automobilių atitvarams 5 metai.</w:t>
      </w:r>
    </w:p>
    <w:p w14:paraId="098E68B2" w14:textId="77777777" w:rsidR="00937FC1" w:rsidRPr="00222C9B" w:rsidRDefault="00937FC1" w:rsidP="00937FC1">
      <w:pPr>
        <w:spacing w:after="0" w:line="240" w:lineRule="auto"/>
        <w:ind w:firstLine="720"/>
        <w:jc w:val="both"/>
        <w:rPr>
          <w:rFonts w:ascii="Times New Roman" w:eastAsia="Times New Roman" w:hAnsi="Times New Roman" w:cs="Times New Roman"/>
          <w:bCs/>
          <w:i/>
          <w:iCs/>
          <w:sz w:val="24"/>
          <w:szCs w:val="24"/>
          <w:lang w:eastAsia="en-US"/>
        </w:rPr>
      </w:pPr>
      <w:r w:rsidRPr="00222C9B">
        <w:rPr>
          <w:rFonts w:ascii="Times New Roman" w:eastAsia="Times New Roman" w:hAnsi="Times New Roman" w:cs="Times New Roman"/>
          <w:bCs/>
          <w:i/>
          <w:iCs/>
          <w:color w:val="000000"/>
          <w:sz w:val="24"/>
          <w:szCs w:val="24"/>
        </w:rPr>
        <w:t xml:space="preserve">Apsauginiai pėsčiųjų ir dviračių takų </w:t>
      </w:r>
      <w:r w:rsidRPr="00222C9B">
        <w:rPr>
          <w:rFonts w:ascii="Times New Roman" w:eastAsia="Times New Roman" w:hAnsi="Times New Roman" w:cs="Times New Roman"/>
          <w:bCs/>
          <w:i/>
          <w:iCs/>
          <w:sz w:val="24"/>
          <w:szCs w:val="24"/>
          <w:lang w:eastAsia="en-US"/>
        </w:rPr>
        <w:t>atitvarų įrengimas</w:t>
      </w:r>
    </w:p>
    <w:p w14:paraId="37531AA7"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Plieninės juostos ir statramsčiai turi būti pagaminti iš ne žemesnės kaip S235J2W plieno pagal LST EN 10025-</w:t>
      </w:r>
      <w:r w:rsidRPr="00222C9B">
        <w:rPr>
          <w:rFonts w:ascii="Times New Roman" w:eastAsia="Times New Roman" w:hAnsi="Times New Roman" w:cs="Times New Roman"/>
          <w:sz w:val="24"/>
          <w:szCs w:val="24"/>
          <w:lang w:eastAsia="en-US"/>
        </w:rPr>
        <w:lastRenderedPageBreak/>
        <w:t>5:2019 reikalavimus. Intarpai turi būti tos pačios plieno klasės kaip ir statramsčiai. Varžtai turi būti ne žemesnės stiprumo klases 4,6 pagal LST EN ISO 898-1:2013, veržlės ne žemesnės stiprumo klasės kaip 5 pagal LST EN ISO 898-2. 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 Sijos, statramsčiai, tvirtinimo detalės turi būti vienalyčiai. Jie negali būti įtrūkę su plyšiais, skilę su suvirinimo siūlėmis. Antikorozinis sluoksnis turi būti neatšokęs be išsiputimų. Tvirtinimo varžtai turi būti su pusapvale galvute. Apsauginių atitvarų konstrukciniai elementai turi turėti gamyklos gamintojos išduotos kokybės sertifikatus, patvirtinančius plieno klasės, antikorozinio dengimo, cheminių ir mechaninių savybių minimalių verčių atitikimą. Garantija apsauginiams pėsčiųjų ir dviračių atitvarams 5 metai.</w:t>
      </w:r>
    </w:p>
    <w:p w14:paraId="0A325608" w14:textId="77777777" w:rsidR="00937FC1" w:rsidRPr="00222C9B" w:rsidRDefault="00937FC1" w:rsidP="00937FC1">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Kitos eismo saugumo priemonės</w:t>
      </w:r>
    </w:p>
    <w:p w14:paraId="481B30D2"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i/>
          <w:sz w:val="24"/>
          <w:szCs w:val="24"/>
          <w:lang w:eastAsia="en-US"/>
        </w:rPr>
        <w:t>Saugumo salelė</w:t>
      </w:r>
      <w:r w:rsidRPr="00222C9B">
        <w:rPr>
          <w:rFonts w:ascii="Times New Roman" w:eastAsia="Times New Roman" w:hAnsi="Times New Roman" w:cs="Times New Roman"/>
          <w:sz w:val="24"/>
          <w:szCs w:val="24"/>
          <w:lang w:eastAsia="en-US"/>
        </w:rPr>
        <w:t xml:space="preserve"> įrengiama iš kampinių, kraštinių ir vidinių segmentų.</w:t>
      </w:r>
    </w:p>
    <w:p w14:paraId="562CBFCE"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prie pagrindo tvirtinamos varžtais;</w:t>
      </w:r>
    </w:p>
    <w:p w14:paraId="0DC721AC"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Segmentų šonuose – balti atšvaistai, leidžiantys įrenginį matyti naktį ir blogo matomumo sąlygomis.</w:t>
      </w:r>
    </w:p>
    <w:p w14:paraId="2B63832D"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pagamintos iš perdirbtos gumos ir PVC.</w:t>
      </w:r>
    </w:p>
    <w:p w14:paraId="23AC17F6" w14:textId="77777777" w:rsidR="00937FC1" w:rsidRPr="00222C9B" w:rsidRDefault="00937FC1" w:rsidP="00937FC1">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 xml:space="preserve">Parkavimo </w:t>
      </w:r>
      <w:proofErr w:type="spellStart"/>
      <w:r w:rsidRPr="00222C9B">
        <w:rPr>
          <w:rFonts w:ascii="Times New Roman" w:eastAsia="Times New Roman" w:hAnsi="Times New Roman" w:cs="Times New Roman"/>
          <w:i/>
          <w:sz w:val="24"/>
          <w:szCs w:val="24"/>
        </w:rPr>
        <w:t>borteliai</w:t>
      </w:r>
      <w:proofErr w:type="spellEnd"/>
      <w:r w:rsidRPr="00222C9B">
        <w:rPr>
          <w:rFonts w:ascii="Times New Roman" w:eastAsia="Times New Roman" w:hAnsi="Times New Roman" w:cs="Times New Roman"/>
          <w:sz w:val="24"/>
          <w:szCs w:val="24"/>
        </w:rPr>
        <w:t>:</w:t>
      </w:r>
    </w:p>
    <w:p w14:paraId="1C1FFE34" w14:textId="77777777" w:rsidR="00937FC1" w:rsidRPr="00222C9B" w:rsidRDefault="00937FC1" w:rsidP="00937FC1">
      <w:pPr>
        <w:numPr>
          <w:ilvl w:val="0"/>
          <w:numId w:val="2"/>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parkavimo </w:t>
      </w: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pagamintas iš gumos;</w:t>
      </w:r>
    </w:p>
    <w:p w14:paraId="1267CF75" w14:textId="77777777" w:rsidR="00937FC1" w:rsidRPr="00222C9B" w:rsidRDefault="00937FC1" w:rsidP="00937FC1">
      <w:pPr>
        <w:numPr>
          <w:ilvl w:val="0"/>
          <w:numId w:val="2"/>
        </w:numPr>
        <w:tabs>
          <w:tab w:val="left" w:pos="553"/>
        </w:tabs>
        <w:spacing w:after="0" w:line="240" w:lineRule="auto"/>
        <w:ind w:left="0"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turi baltą, šviesą atspindinčią juostą priekinėje dalyje, yra lengvai pastebimas tamsiu paros metu;</w:t>
      </w:r>
    </w:p>
    <w:p w14:paraId="338E88AE" w14:textId="77777777" w:rsidR="00937FC1" w:rsidRPr="00222C9B" w:rsidRDefault="00937FC1" w:rsidP="00937FC1">
      <w:pPr>
        <w:numPr>
          <w:ilvl w:val="0"/>
          <w:numId w:val="2"/>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Atsparus atmosferos poveikiui, smūgiams ir žiemą barstomai druskai;</w:t>
      </w:r>
    </w:p>
    <w:p w14:paraId="7E1E587E" w14:textId="77777777" w:rsidR="00937FC1" w:rsidRPr="00222C9B" w:rsidRDefault="00937FC1" w:rsidP="00937FC1">
      <w:pPr>
        <w:tabs>
          <w:tab w:val="left" w:pos="553"/>
        </w:tabs>
        <w:spacing w:after="0" w:line="240" w:lineRule="auto"/>
        <w:ind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bortelio</w:t>
      </w:r>
      <w:proofErr w:type="spellEnd"/>
      <w:r w:rsidRPr="00222C9B">
        <w:rPr>
          <w:rFonts w:ascii="Times New Roman" w:eastAsia="Times New Roman" w:hAnsi="Times New Roman" w:cs="Times New Roman"/>
          <w:sz w:val="24"/>
          <w:szCs w:val="24"/>
        </w:rPr>
        <w:t xml:space="preserve"> matmenys:</w:t>
      </w:r>
    </w:p>
    <w:p w14:paraId="6D35DF71" w14:textId="77777777" w:rsidR="00937FC1" w:rsidRPr="00222C9B" w:rsidRDefault="00937FC1" w:rsidP="00937FC1">
      <w:pPr>
        <w:numPr>
          <w:ilvl w:val="0"/>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ilgis~1670 mm, aukštis~120mm;</w:t>
      </w:r>
    </w:p>
    <w:p w14:paraId="46C9F40D" w14:textId="77777777" w:rsidR="00937FC1" w:rsidRPr="00222C9B" w:rsidRDefault="00937FC1" w:rsidP="00937FC1">
      <w:pPr>
        <w:numPr>
          <w:ilvl w:val="0"/>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ilgis~900 mm, aukštis~120mm;</w:t>
      </w:r>
    </w:p>
    <w:p w14:paraId="4CA47641" w14:textId="77777777" w:rsidR="00937FC1" w:rsidRPr="00222C9B" w:rsidRDefault="00937FC1" w:rsidP="00937FC1">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Lankstūs plastikiniai stulpeliai</w:t>
      </w:r>
      <w:r w:rsidRPr="00222C9B">
        <w:rPr>
          <w:rFonts w:ascii="Times New Roman" w:eastAsia="Times New Roman" w:hAnsi="Times New Roman" w:cs="Times New Roman"/>
          <w:sz w:val="24"/>
          <w:szCs w:val="24"/>
        </w:rPr>
        <w:t>:</w:t>
      </w:r>
    </w:p>
    <w:p w14:paraId="5C598C27" w14:textId="77777777" w:rsidR="00937FC1" w:rsidRPr="00222C9B" w:rsidRDefault="00937FC1" w:rsidP="00937FC1">
      <w:pPr>
        <w:numPr>
          <w:ilvl w:val="1"/>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lankstūs plastikiniai stulpeliai pagaminti iš poliuretano, kuris yra lankstus, o sulenktas greitai atsistato į pradinę padėtį; </w:t>
      </w:r>
    </w:p>
    <w:p w14:paraId="7262ADA0" w14:textId="77777777" w:rsidR="00937FC1" w:rsidRPr="00222C9B" w:rsidRDefault="00937FC1" w:rsidP="00937FC1">
      <w:pPr>
        <w:numPr>
          <w:ilvl w:val="1"/>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yra gerai matomi, atspindintys šviesą, lengvai pastebimi vairuotojų tamsiu paros metu;</w:t>
      </w:r>
    </w:p>
    <w:p w14:paraId="4EABBDD3" w14:textId="77777777" w:rsidR="00937FC1" w:rsidRPr="00222C9B" w:rsidRDefault="00937FC1" w:rsidP="00937FC1">
      <w:pPr>
        <w:numPr>
          <w:ilvl w:val="1"/>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atsparūs kalciui, chloridui ir kt. cheminėms medžiagoms, barstomoms keliuose žiemos metu;</w:t>
      </w:r>
    </w:p>
    <w:p w14:paraId="2D9E144E" w14:textId="77777777" w:rsidR="00937FC1" w:rsidRPr="00222C9B" w:rsidRDefault="00937FC1" w:rsidP="00937FC1">
      <w:pPr>
        <w:numPr>
          <w:ilvl w:val="1"/>
          <w:numId w:val="3"/>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stulpeliai </w:t>
      </w:r>
      <w:proofErr w:type="spellStart"/>
      <w:r w:rsidRPr="00222C9B">
        <w:rPr>
          <w:rFonts w:ascii="Times New Roman" w:eastAsia="Times New Roman" w:hAnsi="Times New Roman" w:cs="Times New Roman"/>
          <w:sz w:val="24"/>
          <w:szCs w:val="24"/>
        </w:rPr>
        <w:t>ankeruojami</w:t>
      </w:r>
      <w:proofErr w:type="spellEnd"/>
      <w:r w:rsidRPr="00222C9B">
        <w:rPr>
          <w:rFonts w:ascii="Times New Roman" w:eastAsia="Times New Roman" w:hAnsi="Times New Roman" w:cs="Times New Roman"/>
          <w:sz w:val="24"/>
          <w:szCs w:val="24"/>
        </w:rPr>
        <w:t xml:space="preserve"> epoksidiniais </w:t>
      </w:r>
      <w:proofErr w:type="spellStart"/>
      <w:r w:rsidRPr="00222C9B">
        <w:rPr>
          <w:rFonts w:ascii="Times New Roman" w:eastAsia="Times New Roman" w:hAnsi="Times New Roman" w:cs="Times New Roman"/>
          <w:sz w:val="24"/>
          <w:szCs w:val="24"/>
        </w:rPr>
        <w:t>ankeriais</w:t>
      </w:r>
      <w:proofErr w:type="spellEnd"/>
      <w:r w:rsidRPr="00222C9B">
        <w:rPr>
          <w:rFonts w:ascii="Times New Roman" w:eastAsia="Times New Roman" w:hAnsi="Times New Roman" w:cs="Times New Roman"/>
          <w:sz w:val="24"/>
          <w:szCs w:val="24"/>
        </w:rPr>
        <w:t xml:space="preserve">. </w:t>
      </w:r>
    </w:p>
    <w:p w14:paraId="247DC735" w14:textId="77777777" w:rsidR="00937FC1" w:rsidRPr="00222C9B" w:rsidRDefault="00937FC1" w:rsidP="00937FC1">
      <w:pPr>
        <w:spacing w:after="0"/>
        <w:ind w:firstLine="720"/>
        <w:jc w:val="both"/>
        <w:rPr>
          <w:rFonts w:ascii="Times New Roman" w:eastAsia="Times New Roman" w:hAnsi="Times New Roman" w:cs="Times New Roman"/>
          <w:color w:val="000000"/>
          <w:sz w:val="24"/>
          <w:szCs w:val="24"/>
        </w:rPr>
      </w:pPr>
      <w:r w:rsidRPr="00222C9B">
        <w:rPr>
          <w:rFonts w:ascii="Times New Roman" w:eastAsia="Times New Roman" w:hAnsi="Times New Roman" w:cs="Times New Roman"/>
          <w:i/>
          <w:sz w:val="24"/>
          <w:szCs w:val="24"/>
        </w:rPr>
        <w:t>Greičio lėtinimo salelių</w:t>
      </w:r>
      <w:r w:rsidRPr="00222C9B">
        <w:rPr>
          <w:rFonts w:ascii="Times New Roman" w:eastAsia="Times New Roman" w:hAnsi="Times New Roman" w:cs="Times New Roman"/>
          <w:sz w:val="24"/>
          <w:szCs w:val="24"/>
        </w:rPr>
        <w:t xml:space="preserve"> iš asfaltbetonio aukštis nuo 8 iki 10 cm. 2-jų sluoksnių, išfrezuojant sujungimo su esama danga vietas, ant gruntuoto paviršiaus.</w:t>
      </w:r>
    </w:p>
    <w:p w14:paraId="0850120D"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t>Greičio lėtinimo salelė</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 xml:space="preserve">įrengiama iš 4 segmentų. Matmenys 2000X1800X70. </w:t>
      </w:r>
    </w:p>
    <w:p w14:paraId="02D12F61"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t>Greičio slopinimo kalneliai</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įrengiami iš juodų ir geltonų segmentų, pagamintų iš gumos. Kalnelių aukštis 50 mm, plotis: 425 mm. arba aukštis 50 mm, plotis: 900 mm.</w:t>
      </w:r>
    </w:p>
    <w:p w14:paraId="2E1347A0" w14:textId="77777777" w:rsidR="00937FC1" w:rsidRPr="00222C9B" w:rsidRDefault="00937FC1" w:rsidP="00937FC1">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imes New Roman" w:eastAsia="Times New Roman" w:hAnsi="Times New Roman" w:cs="Times New Roman"/>
          <w:i/>
          <w:sz w:val="24"/>
          <w:szCs w:val="24"/>
        </w:rPr>
        <w:t>Kryptinis pėsčiųjų perėjos apšvietimas.</w:t>
      </w:r>
      <w:r w:rsidRPr="00222C9B">
        <w:t xml:space="preserve"> </w:t>
      </w:r>
      <w:r w:rsidRPr="00222C9B">
        <w:rPr>
          <w:rFonts w:asciiTheme="majorBidi" w:eastAsia="Times New Roman" w:hAnsiTheme="majorBidi" w:cstheme="majorBidi"/>
          <w:iCs/>
          <w:sz w:val="24"/>
          <w:szCs w:val="24"/>
        </w:rPr>
        <w:t>Pėsčiųjų perėjų apšvietimo šviestuvai turi būti su LED (</w:t>
      </w:r>
      <w:proofErr w:type="spellStart"/>
      <w:r w:rsidRPr="00222C9B">
        <w:rPr>
          <w:rFonts w:asciiTheme="majorBidi" w:eastAsia="Times New Roman" w:hAnsiTheme="majorBidi" w:cstheme="majorBidi"/>
          <w:iCs/>
          <w:sz w:val="24"/>
          <w:szCs w:val="24"/>
        </w:rPr>
        <w:t>Light-Emitting</w:t>
      </w:r>
      <w:proofErr w:type="spellEnd"/>
      <w:r w:rsidRPr="00222C9B">
        <w:rPr>
          <w:rFonts w:asciiTheme="majorBidi" w:eastAsia="Times New Roman" w:hAnsiTheme="majorBidi" w:cstheme="majorBidi"/>
          <w:iCs/>
          <w:sz w:val="24"/>
          <w:szCs w:val="24"/>
        </w:rPr>
        <w:t xml:space="preserve"> Diode) šviesos šaltiniais, skirti pėsčiųjų perėjoms gatvėse su eismu dešiniąja gatvės puse apšviesti. Šviestuvas montuojamas ant gatvių apšvietimo stulpo be gembės. Šviestuve turi būti naudojamas pasyvus (be judančių dalių) LED modulių ir maitinimo šaltinio aušinimas.</w:t>
      </w:r>
    </w:p>
    <w:p w14:paraId="34AF7F1F" w14:textId="77777777" w:rsidR="00937FC1" w:rsidRPr="00222C9B" w:rsidRDefault="00937FC1" w:rsidP="00937FC1">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Šviestuvui keliami šie techniniai reikalavimai:</w:t>
      </w:r>
    </w:p>
    <w:p w14:paraId="4BACA95E"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srautas turi užtikrinti minimaliąją vidutinę vertikaliąją apšviestą pėsčiųjų perėjos zonoje ne mažiau kaip </w:t>
      </w:r>
      <w:proofErr w:type="spellStart"/>
      <w:r w:rsidRPr="00222C9B">
        <w:rPr>
          <w:rFonts w:asciiTheme="majorBidi" w:eastAsia="Times New Roman" w:hAnsiTheme="majorBidi" w:cstheme="majorBidi"/>
          <w:iCs/>
          <w:sz w:val="24"/>
          <w:szCs w:val="24"/>
        </w:rPr>
        <w:t>Ev,avg</w:t>
      </w:r>
      <w:proofErr w:type="spellEnd"/>
      <w:r w:rsidRPr="00222C9B">
        <w:rPr>
          <w:rFonts w:asciiTheme="majorBidi" w:eastAsia="Times New Roman" w:hAnsiTheme="majorBidi" w:cstheme="majorBidi"/>
          <w:iCs/>
          <w:sz w:val="24"/>
          <w:szCs w:val="24"/>
        </w:rPr>
        <w:t xml:space="preserve"> ≥ 30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xml:space="preserve">, minimalią taško vertikaliąją apšviestą </w:t>
      </w:r>
      <w:proofErr w:type="spellStart"/>
      <w:r w:rsidRPr="00222C9B">
        <w:rPr>
          <w:rFonts w:asciiTheme="majorBidi" w:eastAsia="Times New Roman" w:hAnsiTheme="majorBidi" w:cstheme="majorBidi"/>
          <w:iCs/>
          <w:sz w:val="24"/>
          <w:szCs w:val="24"/>
        </w:rPr>
        <w:t>Ev,min</w:t>
      </w:r>
      <w:proofErr w:type="spellEnd"/>
      <w:r w:rsidRPr="00222C9B">
        <w:rPr>
          <w:rFonts w:asciiTheme="majorBidi" w:eastAsia="Times New Roman" w:hAnsiTheme="majorBidi" w:cstheme="majorBidi"/>
          <w:iCs/>
          <w:sz w:val="24"/>
          <w:szCs w:val="24"/>
        </w:rPr>
        <w:t xml:space="preserve"> ≥ 4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skaičiuojant 1,0 m aukštyje nuo žemės pagal LST EN 13201-2 (arba lygiavertis) B priedo reikalavimus;</w:t>
      </w:r>
    </w:p>
    <w:p w14:paraId="39EA6493"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šviesa turi būti nukreipta asimetriniu šviesos pasiskirstymu į pėsčiųjų perėją iš atvažiuojančio vairuotojo pusės, neakinant vairuotojo;</w:t>
      </w:r>
    </w:p>
    <w:p w14:paraId="702124AE"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spalvos atgavimo indeksas Ra ≥ 80;</w:t>
      </w:r>
    </w:p>
    <w:p w14:paraId="428919C7"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spalvinė temperatūra 4000–5000 K (neutraliai balta), kad spalva skirtųsi nuo aplinkinio gatvės apšvietimo;</w:t>
      </w:r>
    </w:p>
    <w:p w14:paraId="20AEB6CB"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efektyvumas ne mažiau kaip 100 </w:t>
      </w:r>
      <w:proofErr w:type="spellStart"/>
      <w:r w:rsidRPr="00222C9B">
        <w:rPr>
          <w:rFonts w:asciiTheme="majorBidi" w:eastAsia="Times New Roman" w:hAnsiTheme="majorBidi" w:cstheme="majorBidi"/>
          <w:iCs/>
          <w:sz w:val="24"/>
          <w:szCs w:val="24"/>
        </w:rPr>
        <w:t>lm</w:t>
      </w:r>
      <w:proofErr w:type="spellEnd"/>
      <w:r w:rsidRPr="00222C9B">
        <w:rPr>
          <w:rFonts w:asciiTheme="majorBidi" w:eastAsia="Times New Roman" w:hAnsiTheme="majorBidi" w:cstheme="majorBidi"/>
          <w:iCs/>
          <w:sz w:val="24"/>
          <w:szCs w:val="24"/>
        </w:rPr>
        <w:t>/W;</w:t>
      </w:r>
    </w:p>
    <w:p w14:paraId="69A758DE"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lastRenderedPageBreak/>
        <w:t>galios koeficientas (</w:t>
      </w:r>
      <w:proofErr w:type="spellStart"/>
      <w:r w:rsidRPr="00222C9B">
        <w:rPr>
          <w:rFonts w:asciiTheme="majorBidi" w:eastAsia="Times New Roman" w:hAnsiTheme="majorBidi" w:cstheme="majorBidi"/>
          <w:iCs/>
          <w:sz w:val="24"/>
          <w:szCs w:val="24"/>
        </w:rPr>
        <w:t>cos</w:t>
      </w:r>
      <w:proofErr w:type="spellEnd"/>
      <w:r w:rsidRPr="00222C9B">
        <w:rPr>
          <w:rFonts w:asciiTheme="majorBidi" w:eastAsia="Times New Roman" w:hAnsiTheme="majorBidi" w:cstheme="majorBidi"/>
          <w:iCs/>
          <w:sz w:val="24"/>
          <w:szCs w:val="24"/>
        </w:rPr>
        <w:t xml:space="preserve"> φ) ≥ 0,90;</w:t>
      </w:r>
    </w:p>
    <w:p w14:paraId="540935A8"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apsaugos klasė ne žemesnė kaip IP65 pagal LST EN IEC 60529 (arba lygiavertis);</w:t>
      </w:r>
    </w:p>
    <w:p w14:paraId="005C5549"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smūgiams atsparumo klasė ne žemesnė kaip IK08 pagal LST EN IEC 62262 (arba lygiavertis);</w:t>
      </w:r>
    </w:p>
    <w:p w14:paraId="71409088"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šviestuvų konstrukcija, apsauga nuo drėgmės ir dulkių, gaubtas, reflektorius ir kiti parametrai turi atitikti standarto LST EN IEC 60598-2-3:2021 (arba lygiavertis) reikalavimus;</w:t>
      </w:r>
    </w:p>
    <w:p w14:paraId="54F5A865" w14:textId="77777777" w:rsidR="00937FC1" w:rsidRPr="00222C9B" w:rsidRDefault="00937FC1" w:rsidP="00937FC1">
      <w:pPr>
        <w:numPr>
          <w:ilvl w:val="0"/>
          <w:numId w:val="4"/>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šviestuvo moduliai ir valdymo įranga turi atitikti standartų LST EN IEC 61000-3-2:2019+A1:2021 (arba lygiavertis); LST EN IEC 61547:2021 (arba lygiavertis); LST EN IEC 61347-2-13:2024 (arba lygiavertis); LST EN IEC 62384:2020 (arba lygiavertis) reikalavimus.</w:t>
      </w:r>
    </w:p>
    <w:p w14:paraId="6F49FDA2" w14:textId="77777777" w:rsidR="00937FC1" w:rsidRPr="00222C9B" w:rsidRDefault="00937FC1" w:rsidP="00937FC1">
      <w:pPr>
        <w:autoSpaceDE w:val="0"/>
        <w:autoSpaceDN w:val="0"/>
        <w:adjustRightInd w:val="0"/>
        <w:spacing w:after="0" w:line="240" w:lineRule="auto"/>
        <w:ind w:firstLine="720"/>
        <w:jc w:val="both"/>
        <w:rPr>
          <w:rFonts w:ascii="TimesNewRoman" w:eastAsia="TimesNewRoman" w:hAnsi="Times-Roman" w:cs="TimesNewRoman"/>
          <w:sz w:val="24"/>
          <w:szCs w:val="24"/>
        </w:rPr>
      </w:pPr>
      <w:r w:rsidRPr="00222C9B">
        <w:rPr>
          <w:rFonts w:ascii="Times-Roman" w:eastAsia="Times New Roman" w:hAnsi="Times-Roman" w:cs="Times-Roman"/>
          <w:sz w:val="24"/>
          <w:szCs w:val="24"/>
        </w:rPr>
        <w:t>Šviestuvas turi būti sertifikuotas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ženklinimą. Gamintojas turi suteikti ne mažiau, kaip 5 met</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garantiją. Numatyti šviestuvo valdymą ir veikimą atskirai nepriklausomai nuo gatvės apšvietimo veikimo. </w:t>
      </w:r>
    </w:p>
    <w:p w14:paraId="049432FB" w14:textId="77777777" w:rsidR="00937FC1" w:rsidRPr="00222C9B" w:rsidRDefault="00937FC1" w:rsidP="00937FC1">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Apšvietimo stulpas</w:t>
      </w:r>
      <w:r w:rsidRPr="00222C9B">
        <w:rPr>
          <w:rFonts w:ascii="Times-Roman" w:eastAsia="Times New Roman" w:hAnsi="Times-Roman" w:cs="Times-Roman"/>
          <w:sz w:val="24"/>
          <w:szCs w:val="24"/>
        </w:rPr>
        <w:t xml:space="preserve"> Saug</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s, sm</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gio metu sukeltą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energij</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absorbuojantys, tuščiaviduriai, metaliniai, 8 briaun</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profilio, </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virš</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maž</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kintamo diametro, 6,0 m vardinio aukš</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apšvietimo stulpai be gembi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skirti p</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perėj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apšvietimo šviestuv</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tvirtinimui.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pagaminti iš ner</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dijan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metalo arba padengtos karšto cinkavimo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du vidin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ir išorin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pusėje ir nudažyti. Spalvos kodą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RAL/NCS nurodyti užsakant pagal statytojo reikalavimus. Korozijos prevencijai stulpo 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pakelta virš žemės. Stulpo apatinė 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padengta 2 sluoksniais geležies oksido žėrutin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dervos, paruošiant metal</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prieš dažym</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 standarto LST EN ISO 8503-2:2012 (arba lygiavertis) reikalavimus ir nudažyta 2 sluoksniais sidabrini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daž</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spalvinis kodas RAL/NCS nurodomas pagal statytojo reikalavimus. Stulpas montuojamas prisukant j</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 pamato 4 plieno veržl</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mis,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pagalba lengvai reguliuojamas stulpo pasvirimo kampas eksploatacijos metu. Kabeli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sujungimui stulpai turi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ti IP65 </w:t>
      </w:r>
      <w:proofErr w:type="spellStart"/>
      <w:r w:rsidRPr="00222C9B">
        <w:rPr>
          <w:rFonts w:ascii="Times-Roman" w:eastAsia="Times New Roman" w:hAnsi="Times-Roman" w:cs="Times-Roman"/>
          <w:sz w:val="24"/>
          <w:szCs w:val="24"/>
        </w:rPr>
        <w:t>hermetiškumo</w:t>
      </w:r>
      <w:proofErr w:type="spellEnd"/>
      <w:r w:rsidRPr="00222C9B">
        <w:rPr>
          <w:rFonts w:ascii="Times-Roman" w:eastAsia="Times New Roman" w:hAnsi="Times-Roman" w:cs="Times-Roman"/>
          <w:sz w:val="24"/>
          <w:szCs w:val="24"/>
        </w:rPr>
        <w:t xml:space="preserve">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dureles.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ne mažesn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kaip 100, HE1 saugos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s pagal standarto EN 12767:2019+A1:2024 „Kelio </w:t>
      </w:r>
      <w:r w:rsidRPr="00222C9B">
        <w:rPr>
          <w:rFonts w:ascii="TimesNewRoman" w:eastAsia="TimesNewRoman" w:hAnsi="Times-Roman" w:cs="TimesNewRoman"/>
          <w:sz w:val="24"/>
          <w:szCs w:val="24"/>
        </w:rPr>
        <w:t>į</w:t>
      </w:r>
      <w:r w:rsidRPr="00222C9B">
        <w:rPr>
          <w:rFonts w:ascii="Times-Roman" w:eastAsia="Times New Roman" w:hAnsi="Times-Roman" w:cs="Times-Roman"/>
          <w:sz w:val="24"/>
          <w:szCs w:val="24"/>
        </w:rPr>
        <w:t>rengini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atramini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pasyvioji sauga“ (arba lygiavertis) reikalavimus, konstrukcija ir kiti parametrai turi atitikti standarto LST EN 40-5 „Apšvietimo stulpai 5 dalis Plieniniams apšvietimo stulpams keliami reikalavimai“ (arba lygiavertis) reikalavimus. Stulpai turi būti sertifikuoti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 Stulp</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garantinis tarnavimo terminas – ne mažiau 15 met</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xml:space="preserve">. </w:t>
      </w:r>
    </w:p>
    <w:p w14:paraId="447475DD" w14:textId="77777777" w:rsidR="00937FC1" w:rsidRPr="00222C9B" w:rsidRDefault="00937FC1" w:rsidP="00937FC1">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 xml:space="preserve">Pamatas. </w:t>
      </w:r>
      <w:r w:rsidRPr="00222C9B">
        <w:rPr>
          <w:rFonts w:ascii="Times-Roman" w:eastAsia="Times New Roman" w:hAnsi="Times-Roman" w:cs="Times-Roman"/>
          <w:sz w:val="24"/>
          <w:szCs w:val="24"/>
        </w:rPr>
        <w:t>Pamatas betoninis, skirtas stulpams,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Pamatai tiekiami kartu su stulpais. Jeigu pamatai užsakomi atskirai, 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konstrukcija, betono stiprio klas</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ir kiti parametrai turi būti parinkti pagal stulpo gamintojo nurodymus arba paskai</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iuota pagal konkretaus stulpo konstrukcij</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w:t>
      </w:r>
    </w:p>
    <w:p w14:paraId="42DA7F58" w14:textId="77777777" w:rsidR="00937FC1" w:rsidRPr="00222C9B" w:rsidRDefault="00937FC1" w:rsidP="00937FC1">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sz w:val="24"/>
          <w:szCs w:val="24"/>
        </w:rPr>
        <w:t>Išardytos dangos turi būti atstatytos. Atlikus darbus perduoti apšvietimą eksploatuojančiai įmonei, techniniam prižiūrėtojui ir Užsakovo atstovui</w:t>
      </w:r>
    </w:p>
    <w:p w14:paraId="53542790" w14:textId="77777777" w:rsidR="00937FC1" w:rsidRPr="00222C9B" w:rsidRDefault="00937FC1" w:rsidP="00937FC1">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Roman" w:eastAsia="Times New Roman" w:hAnsi="Times-Roman" w:cs="Times-Roman"/>
          <w:i/>
          <w:sz w:val="24"/>
          <w:szCs w:val="24"/>
        </w:rPr>
        <w:t>Triukšmo juostos.</w:t>
      </w:r>
    </w:p>
    <w:p w14:paraId="5E7E9BEC" w14:textId="77777777" w:rsidR="00937FC1" w:rsidRPr="00222C9B" w:rsidRDefault="00937FC1" w:rsidP="00937FC1">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color w:val="000000"/>
          <w:sz w:val="24"/>
          <w:szCs w:val="24"/>
        </w:rPr>
        <w:t>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r w:rsidRPr="00222C9B">
        <w:rPr>
          <w:rFonts w:ascii="Times New Roman" w:eastAsia="Times New Roman" w:hAnsi="Times New Roman" w:cs="Times New Roman"/>
          <w:sz w:val="24"/>
          <w:szCs w:val="24"/>
        </w:rPr>
        <w:t xml:space="preserve"> Išilginė struktūrinio ženklinimo triukšmo juosta įrengiama iš šaltojo plastiko arba </w:t>
      </w:r>
      <w:proofErr w:type="spellStart"/>
      <w:r w:rsidRPr="00222C9B">
        <w:rPr>
          <w:rFonts w:ascii="Times New Roman" w:eastAsia="Times New Roman" w:hAnsi="Times New Roman" w:cs="Times New Roman"/>
          <w:sz w:val="24"/>
          <w:szCs w:val="24"/>
        </w:rPr>
        <w:t>termoplasto</w:t>
      </w:r>
      <w:proofErr w:type="spellEnd"/>
      <w:r w:rsidRPr="00222C9B">
        <w:rPr>
          <w:rFonts w:ascii="Times New Roman" w:eastAsia="Times New Roman" w:hAnsi="Times New Roman" w:cs="Times New Roman"/>
          <w:sz w:val="24"/>
          <w:szCs w:val="24"/>
        </w:rPr>
        <w:t xml:space="preserve"> išilgai važiuojamosios kelio dalies, žyminčios važiuojamosios dalies kraštą, skirtos perspėti vairuotojus apie išvažiavimą iš eismo juostos. Išilginę struktūrinio ženklinimo triukšmo juostą („šukas“) sudaro ištisinė ženklinimo linija, kurioje taisyklingai išdėstytos skersinės juostelės. Taip ženklinama kraštinėje saugos juostoje. Įspėjamosioms skersinėms triukšmo juostoms įrengti naudojamas šaltasis plastikas arba </w:t>
      </w:r>
      <w:proofErr w:type="spellStart"/>
      <w:r w:rsidRPr="00222C9B">
        <w:rPr>
          <w:rFonts w:ascii="Times New Roman" w:eastAsia="Times New Roman" w:hAnsi="Times New Roman" w:cs="Times New Roman"/>
          <w:sz w:val="24"/>
          <w:szCs w:val="24"/>
        </w:rPr>
        <w:t>termoplastikas</w:t>
      </w:r>
      <w:proofErr w:type="spellEnd"/>
      <w:r w:rsidRPr="00222C9B">
        <w:rPr>
          <w:rFonts w:ascii="Times New Roman" w:eastAsia="Times New Roman" w:hAnsi="Times New Roman" w:cs="Times New Roman"/>
          <w:sz w:val="24"/>
          <w:szCs w:val="24"/>
        </w:rPr>
        <w:t>. Skersinės triukšmo juostos turi būti raudonos spalvos, negali būti baltos spalvos.</w:t>
      </w:r>
    </w:p>
    <w:p w14:paraId="3A309A0E" w14:textId="77777777" w:rsidR="00937FC1" w:rsidRPr="00222C9B" w:rsidRDefault="00937FC1" w:rsidP="00937FC1">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iCs/>
          <w:sz w:val="24"/>
          <w:szCs w:val="24"/>
        </w:rPr>
        <w:t>Šviesą atspindinčios lipnios juostos</w:t>
      </w:r>
      <w:r w:rsidRPr="00222C9B">
        <w:rPr>
          <w:rFonts w:ascii="Times-Roman" w:eastAsia="Times New Roman" w:hAnsi="Times-Roman" w:cs="Times-Roman"/>
          <w:sz w:val="24"/>
          <w:szCs w:val="24"/>
        </w:rPr>
        <w:t>.</w:t>
      </w:r>
    </w:p>
    <w:p w14:paraId="7592E572" w14:textId="77777777" w:rsidR="00937FC1" w:rsidRPr="00222C9B" w:rsidRDefault="00937FC1" w:rsidP="00937FC1">
      <w:pPr>
        <w:autoSpaceDE w:val="0"/>
        <w:autoSpaceDN w:val="0"/>
        <w:adjustRightInd w:val="0"/>
        <w:spacing w:after="0" w:line="240" w:lineRule="auto"/>
        <w:jc w:val="both"/>
        <w:rPr>
          <w:rFonts w:ascii="Times-Roman" w:eastAsia="Times New Roman" w:hAnsi="Times-Roman" w:cs="Times-Roman"/>
          <w:sz w:val="24"/>
          <w:szCs w:val="24"/>
        </w:rPr>
      </w:pPr>
      <w:r w:rsidRPr="00222C9B">
        <w:rPr>
          <w:rFonts w:ascii="Times-Roman" w:eastAsia="Times New Roman" w:hAnsi="Times-Roman" w:cs="Times-Roman"/>
          <w:i/>
          <w:iCs/>
          <w:sz w:val="24"/>
          <w:szCs w:val="24"/>
        </w:rPr>
        <w:t xml:space="preserve">            </w:t>
      </w:r>
      <w:r w:rsidRPr="00222C9B">
        <w:rPr>
          <w:rFonts w:ascii="Times-Roman" w:eastAsia="Times New Roman" w:hAnsi="Times-Roman" w:cs="Times-Roman"/>
          <w:sz w:val="24"/>
          <w:szCs w:val="24"/>
        </w:rPr>
        <w:t xml:space="preserve">Šviesą atspindinti lipni juosta klijuojama prie įvairių paviršių tamsiuose praėjimuose, laiptinėse, sandėliuose, juosta žymimi įvairūs apvadai (dėžių, durų, atramų, stulpų), įvairūs daiktai, įvairios paskirties automobiliai ir kita technika. Šviesą atspindinti lipni juosta turi atitikti ne žemesnę kaip II klasę (aukšto intensyvumo </w:t>
      </w:r>
      <w:proofErr w:type="spellStart"/>
      <w:r w:rsidRPr="00222C9B">
        <w:rPr>
          <w:rFonts w:ascii="Times-Roman" w:eastAsia="Times New Roman" w:hAnsi="Times-Roman" w:cs="Times-Roman"/>
          <w:sz w:val="24"/>
          <w:szCs w:val="24"/>
        </w:rPr>
        <w:t>retroreflektyvi</w:t>
      </w:r>
      <w:proofErr w:type="spellEnd"/>
      <w:r w:rsidRPr="00222C9B">
        <w:rPr>
          <w:rFonts w:ascii="Times-Roman" w:eastAsia="Times New Roman" w:hAnsi="Times-Roman" w:cs="Times-Roman"/>
          <w:sz w:val="24"/>
          <w:szCs w:val="24"/>
        </w:rPr>
        <w:t xml:space="preserve"> medžiaga) pagal standartą LST EN 12899-1:2008 arba lygiavertę klasifikaciją, patvirtintą gamintojo eksploatacinių savybių deklaracija. Juostos plotis ne mažesnis kaip 50 mm, jei užsakyme nenurodyta kitaip. Suteikiama ne mažiau kaip 2 metų garantija nuo priėmimo–perdavimo akto pasirašymo dienos.</w:t>
      </w:r>
    </w:p>
    <w:p w14:paraId="1F7948DE" w14:textId="77777777" w:rsidR="00937FC1" w:rsidRPr="00222C9B" w:rsidRDefault="00937FC1" w:rsidP="00937FC1">
      <w:pPr>
        <w:autoSpaceDE w:val="0"/>
        <w:autoSpaceDN w:val="0"/>
        <w:adjustRightInd w:val="0"/>
        <w:spacing w:after="0" w:line="240" w:lineRule="auto"/>
        <w:ind w:firstLine="720"/>
        <w:jc w:val="both"/>
        <w:rPr>
          <w:rFonts w:ascii="Times-Roman" w:eastAsia="Times New Roman" w:hAnsi="Times-Roman" w:cs="Times-Roman"/>
          <w:sz w:val="24"/>
          <w:szCs w:val="24"/>
        </w:rPr>
      </w:pPr>
      <w:r>
        <w:rPr>
          <w:rFonts w:ascii="Times-Roman" w:eastAsia="Times New Roman" w:hAnsi="Times-Roman" w:cs="Times-Roman"/>
          <w:i/>
          <w:iCs/>
          <w:sz w:val="24"/>
          <w:szCs w:val="24"/>
        </w:rPr>
        <w:t>Projektavimo paslaugos ir projekto vykdymo priežiūra.</w:t>
      </w:r>
    </w:p>
    <w:p w14:paraId="0AED2945" w14:textId="77777777" w:rsidR="00937FC1" w:rsidRPr="00222C9B" w:rsidRDefault="00937FC1" w:rsidP="00937FC1">
      <w:pPr>
        <w:spacing w:after="0" w:line="240" w:lineRule="auto"/>
        <w:jc w:val="both"/>
        <w:rPr>
          <w:rFonts w:ascii="Times-Roman" w:eastAsia="Times New Roman" w:hAnsi="Times-Roman" w:cs="Times-Roman"/>
          <w:b/>
          <w:i/>
          <w:sz w:val="24"/>
          <w:szCs w:val="24"/>
        </w:rPr>
      </w:pPr>
      <w:r w:rsidRPr="00222C9B">
        <w:rPr>
          <w:rFonts w:ascii="Times-Roman" w:eastAsia="Times New Roman" w:hAnsi="Times-Roman" w:cs="Times-Roman"/>
          <w:i/>
          <w:iCs/>
          <w:sz w:val="24"/>
          <w:szCs w:val="24"/>
        </w:rPr>
        <w:lastRenderedPageBreak/>
        <w:t xml:space="preserve">            </w:t>
      </w:r>
      <w:r>
        <w:rPr>
          <w:rFonts w:ascii="Times-Roman" w:eastAsia="Times New Roman" w:hAnsi="Times-Roman" w:cs="Times-Roman"/>
          <w:sz w:val="24"/>
          <w:szCs w:val="24"/>
        </w:rPr>
        <w:t xml:space="preserve">Projektavimo paslauga reikalinga užsakant darbus, įvardintus darbų įkainių lentelėje Nr. 20 - </w:t>
      </w:r>
      <w:r w:rsidRPr="00505FD7">
        <w:rPr>
          <w:rFonts w:ascii="Times-Roman" w:eastAsia="Times New Roman" w:hAnsi="Times-Roman" w:cs="Times-Roman"/>
          <w:sz w:val="24"/>
          <w:szCs w:val="24"/>
        </w:rPr>
        <w:t>Kryptinio pėsčiųjų perėjos apšvietimo įrengimas</w:t>
      </w:r>
      <w:r>
        <w:rPr>
          <w:rFonts w:ascii="Times-Roman" w:eastAsia="Times New Roman" w:hAnsi="Times-Roman" w:cs="Times-Roman"/>
          <w:sz w:val="24"/>
          <w:szCs w:val="24"/>
        </w:rPr>
        <w:t>. Užsakovui elektroniniu paštu užsakius kryptinio pėsčiųjų perėjos apšvietimo įrengimo darbus, Rangovas nuo Užsakovo užsakymo elektroniniu paštu pateikimo dienos, per 30 kalendorinių dienų parengia projektus ir per 60 kalendorinių dienų atlieka kryptinio pėsčiųjų perėjos apšvietimo įrengimo darbus.</w:t>
      </w:r>
    </w:p>
    <w:p w14:paraId="4754ED85" w14:textId="77777777" w:rsidR="00937FC1" w:rsidRPr="00222C9B" w:rsidRDefault="00937FC1" w:rsidP="00937FC1">
      <w:pPr>
        <w:spacing w:after="0" w:line="240" w:lineRule="auto"/>
        <w:ind w:firstLine="720"/>
        <w:rPr>
          <w:rFonts w:ascii="Times-Roman" w:eastAsia="Times New Roman" w:hAnsi="Times-Roman" w:cs="Times-Roman"/>
          <w:b/>
          <w:i/>
          <w:sz w:val="24"/>
          <w:szCs w:val="24"/>
        </w:rPr>
      </w:pPr>
    </w:p>
    <w:p w14:paraId="2028DCA9" w14:textId="77777777" w:rsidR="00937FC1" w:rsidRPr="00222C9B" w:rsidRDefault="00937FC1" w:rsidP="00937FC1">
      <w:pPr>
        <w:spacing w:after="0" w:line="240" w:lineRule="auto"/>
        <w:ind w:firstLine="720"/>
        <w:rPr>
          <w:rFonts w:ascii="Times-Roman" w:eastAsia="Times New Roman" w:hAnsi="Times-Roman" w:cs="Times-Roman"/>
          <w:b/>
          <w:i/>
          <w:sz w:val="24"/>
          <w:szCs w:val="24"/>
        </w:rPr>
      </w:pPr>
    </w:p>
    <w:p w14:paraId="5AA614F6" w14:textId="77777777" w:rsidR="00937FC1" w:rsidRPr="00222C9B" w:rsidRDefault="00937FC1" w:rsidP="00937FC1">
      <w:pPr>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Parengė:</w:t>
      </w:r>
    </w:p>
    <w:p w14:paraId="307F0BD7" w14:textId="77777777" w:rsidR="00937FC1" w:rsidRPr="00222C9B" w:rsidRDefault="00937FC1" w:rsidP="00937FC1">
      <w:pPr>
        <w:tabs>
          <w:tab w:val="left" w:pos="6096"/>
        </w:tabs>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statybos darbų prižiūrėtojas</w:t>
      </w:r>
      <w:r w:rsidRPr="00222C9B">
        <w:rPr>
          <w:rFonts w:ascii="Times New Roman" w:eastAsia="Times New Roman" w:hAnsi="Times New Roman" w:cs="Times New Roman"/>
          <w:sz w:val="24"/>
          <w:szCs w:val="24"/>
        </w:rPr>
        <w:tab/>
        <w:t>Ernestas Trepšas</w:t>
      </w:r>
    </w:p>
    <w:p w14:paraId="14F61538" w14:textId="77777777" w:rsidR="00937FC1" w:rsidRPr="00222C9B" w:rsidRDefault="00937FC1" w:rsidP="00937FC1">
      <w:pPr>
        <w:tabs>
          <w:tab w:val="left" w:pos="6096"/>
        </w:tabs>
        <w:spacing w:after="0" w:line="240" w:lineRule="auto"/>
        <w:ind w:firstLine="720"/>
        <w:rPr>
          <w:rFonts w:ascii="Times New Roman" w:eastAsia="Times New Roman" w:hAnsi="Times New Roman" w:cs="Times New Roman"/>
          <w:sz w:val="24"/>
          <w:szCs w:val="24"/>
        </w:rPr>
      </w:pPr>
    </w:p>
    <w:p w14:paraId="3F98BE37" w14:textId="77777777" w:rsidR="00937FC1" w:rsidRPr="00222C9B" w:rsidRDefault="00937FC1" w:rsidP="00937FC1">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Suderinta:</w:t>
      </w:r>
    </w:p>
    <w:p w14:paraId="61C618A6" w14:textId="77777777" w:rsidR="00937FC1" w:rsidRPr="00222C9B" w:rsidRDefault="00937FC1" w:rsidP="00937FC1">
      <w:pPr>
        <w:tabs>
          <w:tab w:val="left" w:pos="6096"/>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vedėjo pavaduotoja                             Agneta Naglienė</w:t>
      </w:r>
    </w:p>
    <w:p w14:paraId="07AC7BE3" w14:textId="77777777" w:rsidR="00937FC1" w:rsidRDefault="00937FC1" w:rsidP="00937FC1">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7F19764C" w14:textId="77777777" w:rsidR="00937FC1" w:rsidRPr="001C543D" w:rsidRDefault="00937FC1" w:rsidP="00937FC1">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0EDC42B7" w14:textId="77777777" w:rsidR="00937FC1" w:rsidRPr="00436B0C" w:rsidRDefault="00937FC1" w:rsidP="00937FC1">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32F818C2" w14:textId="77777777" w:rsidR="00937FC1" w:rsidRPr="00436B0C" w:rsidRDefault="00937FC1" w:rsidP="00937FC1">
      <w:pPr>
        <w:spacing w:after="0" w:line="240" w:lineRule="auto"/>
        <w:jc w:val="both"/>
        <w:rPr>
          <w:rFonts w:ascii="Times New Roman" w:eastAsia="Times New Roman" w:hAnsi="Times New Roman" w:cs="Times New Roman"/>
          <w:bCs/>
          <w:sz w:val="24"/>
          <w:szCs w:val="24"/>
          <w:lang w:eastAsia="en-US"/>
        </w:rPr>
      </w:pPr>
    </w:p>
    <w:p w14:paraId="72DA9FBE" w14:textId="77777777" w:rsidR="00937FC1" w:rsidRDefault="00937FC1" w:rsidP="00937FC1">
      <w:pPr>
        <w:spacing w:after="0" w:line="240" w:lineRule="auto"/>
        <w:jc w:val="both"/>
        <w:rPr>
          <w:rFonts w:ascii="Times New Roman" w:eastAsia="Times New Roman" w:hAnsi="Times New Roman" w:cs="Times New Roman"/>
          <w:sz w:val="24"/>
          <w:szCs w:val="24"/>
          <w:lang w:eastAsia="en-US"/>
        </w:rPr>
      </w:pPr>
      <w:r w:rsidRPr="00436B0C">
        <w:rPr>
          <w:rFonts w:ascii="Times New Roman" w:eastAsia="Times New Roman" w:hAnsi="Times New Roman" w:cs="Times New Roman"/>
          <w:bCs/>
          <w:sz w:val="24"/>
          <w:szCs w:val="24"/>
          <w:lang w:eastAsia="en-US"/>
        </w:rPr>
        <w:t xml:space="preserve"> </w:t>
      </w:r>
    </w:p>
    <w:p w14:paraId="482F30FD"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55772237"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56687CAF"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01842436"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456DEEE7"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2572F21B" w14:textId="77777777" w:rsidR="00937FC1" w:rsidRDefault="00937FC1" w:rsidP="00937FC1">
      <w:pPr>
        <w:spacing w:after="0" w:line="240" w:lineRule="auto"/>
        <w:rPr>
          <w:rFonts w:ascii="Times New Roman" w:eastAsia="Times New Roman" w:hAnsi="Times New Roman" w:cs="Times New Roman"/>
          <w:sz w:val="24"/>
          <w:szCs w:val="24"/>
          <w:lang w:eastAsia="en-US"/>
        </w:rPr>
      </w:pPr>
    </w:p>
    <w:p w14:paraId="45BEC11D" w14:textId="77777777" w:rsidR="00635B93" w:rsidRDefault="00635B93"/>
    <w:sectPr w:rsidR="00635B93" w:rsidSect="00937FC1">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B8D"/>
    <w:multiLevelType w:val="hybridMultilevel"/>
    <w:tmpl w:val="884419B8"/>
    <w:lvl w:ilvl="0" w:tplc="04270001">
      <w:start w:val="1"/>
      <w:numFmt w:val="bullet"/>
      <w:lvlText w:val=""/>
      <w:lvlJc w:val="left"/>
      <w:pPr>
        <w:ind w:left="1093" w:hanging="360"/>
      </w:pPr>
      <w:rPr>
        <w:rFonts w:ascii="Symbol" w:hAnsi="Symbol" w:hint="default"/>
      </w:rPr>
    </w:lvl>
    <w:lvl w:ilvl="1" w:tplc="04270003" w:tentative="1">
      <w:start w:val="1"/>
      <w:numFmt w:val="bullet"/>
      <w:lvlText w:val="o"/>
      <w:lvlJc w:val="left"/>
      <w:pPr>
        <w:ind w:left="1813" w:hanging="360"/>
      </w:pPr>
      <w:rPr>
        <w:rFonts w:ascii="Courier New" w:hAnsi="Courier New" w:cs="Courier New" w:hint="default"/>
      </w:rPr>
    </w:lvl>
    <w:lvl w:ilvl="2" w:tplc="04270005" w:tentative="1">
      <w:start w:val="1"/>
      <w:numFmt w:val="bullet"/>
      <w:lvlText w:val=""/>
      <w:lvlJc w:val="left"/>
      <w:pPr>
        <w:ind w:left="2533" w:hanging="360"/>
      </w:pPr>
      <w:rPr>
        <w:rFonts w:ascii="Wingdings" w:hAnsi="Wingdings" w:hint="default"/>
      </w:rPr>
    </w:lvl>
    <w:lvl w:ilvl="3" w:tplc="04270001" w:tentative="1">
      <w:start w:val="1"/>
      <w:numFmt w:val="bullet"/>
      <w:lvlText w:val=""/>
      <w:lvlJc w:val="left"/>
      <w:pPr>
        <w:ind w:left="3253" w:hanging="360"/>
      </w:pPr>
      <w:rPr>
        <w:rFonts w:ascii="Symbol" w:hAnsi="Symbol" w:hint="default"/>
      </w:rPr>
    </w:lvl>
    <w:lvl w:ilvl="4" w:tplc="04270003" w:tentative="1">
      <w:start w:val="1"/>
      <w:numFmt w:val="bullet"/>
      <w:lvlText w:val="o"/>
      <w:lvlJc w:val="left"/>
      <w:pPr>
        <w:ind w:left="3973" w:hanging="360"/>
      </w:pPr>
      <w:rPr>
        <w:rFonts w:ascii="Courier New" w:hAnsi="Courier New" w:cs="Courier New" w:hint="default"/>
      </w:rPr>
    </w:lvl>
    <w:lvl w:ilvl="5" w:tplc="04270005" w:tentative="1">
      <w:start w:val="1"/>
      <w:numFmt w:val="bullet"/>
      <w:lvlText w:val=""/>
      <w:lvlJc w:val="left"/>
      <w:pPr>
        <w:ind w:left="4693" w:hanging="360"/>
      </w:pPr>
      <w:rPr>
        <w:rFonts w:ascii="Wingdings" w:hAnsi="Wingdings" w:hint="default"/>
      </w:rPr>
    </w:lvl>
    <w:lvl w:ilvl="6" w:tplc="04270001" w:tentative="1">
      <w:start w:val="1"/>
      <w:numFmt w:val="bullet"/>
      <w:lvlText w:val=""/>
      <w:lvlJc w:val="left"/>
      <w:pPr>
        <w:ind w:left="5413" w:hanging="360"/>
      </w:pPr>
      <w:rPr>
        <w:rFonts w:ascii="Symbol" w:hAnsi="Symbol" w:hint="default"/>
      </w:rPr>
    </w:lvl>
    <w:lvl w:ilvl="7" w:tplc="04270003" w:tentative="1">
      <w:start w:val="1"/>
      <w:numFmt w:val="bullet"/>
      <w:lvlText w:val="o"/>
      <w:lvlJc w:val="left"/>
      <w:pPr>
        <w:ind w:left="6133" w:hanging="360"/>
      </w:pPr>
      <w:rPr>
        <w:rFonts w:ascii="Courier New" w:hAnsi="Courier New" w:cs="Courier New" w:hint="default"/>
      </w:rPr>
    </w:lvl>
    <w:lvl w:ilvl="8" w:tplc="04270005" w:tentative="1">
      <w:start w:val="1"/>
      <w:numFmt w:val="bullet"/>
      <w:lvlText w:val=""/>
      <w:lvlJc w:val="left"/>
      <w:pPr>
        <w:ind w:left="6853" w:hanging="360"/>
      </w:pPr>
      <w:rPr>
        <w:rFonts w:ascii="Wingdings" w:hAnsi="Wingdings" w:hint="default"/>
      </w:rPr>
    </w:lvl>
  </w:abstractNum>
  <w:abstractNum w:abstractNumId="1" w15:restartNumberingAfterBreak="0">
    <w:nsid w:val="036E32BE"/>
    <w:multiLevelType w:val="hybridMultilevel"/>
    <w:tmpl w:val="3800A818"/>
    <w:lvl w:ilvl="0" w:tplc="04270001">
      <w:start w:val="1"/>
      <w:numFmt w:val="bullet"/>
      <w:lvlText w:val=""/>
      <w:lvlJc w:val="left"/>
      <w:pPr>
        <w:ind w:left="1466" w:hanging="360"/>
      </w:pPr>
      <w:rPr>
        <w:rFonts w:ascii="Symbol" w:hAnsi="Symbol" w:hint="default"/>
      </w:rPr>
    </w:lvl>
    <w:lvl w:ilvl="1" w:tplc="04270001">
      <w:start w:val="1"/>
      <w:numFmt w:val="bullet"/>
      <w:lvlText w:val=""/>
      <w:lvlJc w:val="left"/>
      <w:pPr>
        <w:ind w:left="2186" w:hanging="360"/>
      </w:pPr>
      <w:rPr>
        <w:rFonts w:ascii="Symbol" w:hAnsi="Symbol" w:hint="default"/>
      </w:rPr>
    </w:lvl>
    <w:lvl w:ilvl="2" w:tplc="04270005" w:tentative="1">
      <w:start w:val="1"/>
      <w:numFmt w:val="bullet"/>
      <w:lvlText w:val=""/>
      <w:lvlJc w:val="left"/>
      <w:pPr>
        <w:ind w:left="2906" w:hanging="360"/>
      </w:pPr>
      <w:rPr>
        <w:rFonts w:ascii="Wingdings" w:hAnsi="Wingdings" w:hint="default"/>
      </w:rPr>
    </w:lvl>
    <w:lvl w:ilvl="3" w:tplc="04270001" w:tentative="1">
      <w:start w:val="1"/>
      <w:numFmt w:val="bullet"/>
      <w:lvlText w:val=""/>
      <w:lvlJc w:val="left"/>
      <w:pPr>
        <w:ind w:left="3626" w:hanging="360"/>
      </w:pPr>
      <w:rPr>
        <w:rFonts w:ascii="Symbol" w:hAnsi="Symbol" w:hint="default"/>
      </w:rPr>
    </w:lvl>
    <w:lvl w:ilvl="4" w:tplc="04270003" w:tentative="1">
      <w:start w:val="1"/>
      <w:numFmt w:val="bullet"/>
      <w:lvlText w:val="o"/>
      <w:lvlJc w:val="left"/>
      <w:pPr>
        <w:ind w:left="4346" w:hanging="360"/>
      </w:pPr>
      <w:rPr>
        <w:rFonts w:ascii="Courier New" w:hAnsi="Courier New" w:cs="Courier New" w:hint="default"/>
      </w:rPr>
    </w:lvl>
    <w:lvl w:ilvl="5" w:tplc="04270005" w:tentative="1">
      <w:start w:val="1"/>
      <w:numFmt w:val="bullet"/>
      <w:lvlText w:val=""/>
      <w:lvlJc w:val="left"/>
      <w:pPr>
        <w:ind w:left="5066" w:hanging="360"/>
      </w:pPr>
      <w:rPr>
        <w:rFonts w:ascii="Wingdings" w:hAnsi="Wingdings" w:hint="default"/>
      </w:rPr>
    </w:lvl>
    <w:lvl w:ilvl="6" w:tplc="04270001" w:tentative="1">
      <w:start w:val="1"/>
      <w:numFmt w:val="bullet"/>
      <w:lvlText w:val=""/>
      <w:lvlJc w:val="left"/>
      <w:pPr>
        <w:ind w:left="5786" w:hanging="360"/>
      </w:pPr>
      <w:rPr>
        <w:rFonts w:ascii="Symbol" w:hAnsi="Symbol" w:hint="default"/>
      </w:rPr>
    </w:lvl>
    <w:lvl w:ilvl="7" w:tplc="04270003" w:tentative="1">
      <w:start w:val="1"/>
      <w:numFmt w:val="bullet"/>
      <w:lvlText w:val="o"/>
      <w:lvlJc w:val="left"/>
      <w:pPr>
        <w:ind w:left="6506" w:hanging="360"/>
      </w:pPr>
      <w:rPr>
        <w:rFonts w:ascii="Courier New" w:hAnsi="Courier New" w:cs="Courier New" w:hint="default"/>
      </w:rPr>
    </w:lvl>
    <w:lvl w:ilvl="8" w:tplc="04270005" w:tentative="1">
      <w:start w:val="1"/>
      <w:numFmt w:val="bullet"/>
      <w:lvlText w:val=""/>
      <w:lvlJc w:val="left"/>
      <w:pPr>
        <w:ind w:left="7226" w:hanging="360"/>
      </w:pPr>
      <w:rPr>
        <w:rFonts w:ascii="Wingdings" w:hAnsi="Wingdings" w:hint="default"/>
      </w:rPr>
    </w:lvl>
  </w:abstractNum>
  <w:abstractNum w:abstractNumId="2" w15:restartNumberingAfterBreak="0">
    <w:nsid w:val="0FD806FD"/>
    <w:multiLevelType w:val="multilevel"/>
    <w:tmpl w:val="7700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B05A77"/>
    <w:multiLevelType w:val="hybridMultilevel"/>
    <w:tmpl w:val="7982ED3C"/>
    <w:lvl w:ilvl="0" w:tplc="9BEE6C48">
      <w:start w:val="435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FC1"/>
    <w:rsid w:val="00635B93"/>
    <w:rsid w:val="00937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D5DBF"/>
  <w15:chartTrackingRefBased/>
  <w15:docId w15:val="{0C1FE4FD-0FA8-40CA-A4B4-E179B9AB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37FC1"/>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29B56896-D573-4E6B-BF73-E89DBC43F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7BF45-FEBA-464D-A5DF-5D9BB60F732A}">
  <ds:schemaRefs>
    <ds:schemaRef ds:uri="http://schemas.microsoft.com/sharepoint/v3/contenttype/forms"/>
  </ds:schemaRefs>
</ds:datastoreItem>
</file>

<file path=customXml/itemProps3.xml><?xml version="1.0" encoding="utf-8"?>
<ds:datastoreItem xmlns:ds="http://schemas.openxmlformats.org/officeDocument/2006/customXml" ds:itemID="{08D8C943-B7E7-43B4-960E-10663716988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10470</Words>
  <Characters>5969</Characters>
  <Application>Microsoft Office Word</Application>
  <DocSecurity>0</DocSecurity>
  <Lines>49</Lines>
  <Paragraphs>32</Paragraphs>
  <ScaleCrop>false</ScaleCrop>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cp:revision>
  <dcterms:created xsi:type="dcterms:W3CDTF">2026-05-19T12:11:00Z</dcterms:created>
  <dcterms:modified xsi:type="dcterms:W3CDTF">2026-05-19T12:12:00Z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